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664429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664429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664429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283710" w:rsidP="0081749F">
      <w:pPr>
        <w:jc w:val="center"/>
        <w:rPr>
          <w:b/>
        </w:rPr>
      </w:pPr>
      <w:r>
        <w:rPr>
          <w:b/>
        </w:rPr>
        <w:t>ПРОТОКОЛ № 120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283710">
        <w:rPr>
          <w:lang w:eastAsia="ar-SA"/>
        </w:rPr>
        <w:t>02»  октя</w:t>
      </w:r>
      <w:r w:rsidR="00E608DB">
        <w:rPr>
          <w:lang w:eastAsia="ar-SA"/>
        </w:rPr>
        <w:t>бря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283710">
        <w:rPr>
          <w:b/>
        </w:rPr>
        <w:t>Общество с ограниченной ответственностью «Диагностические комплексы и системы»</w:t>
      </w:r>
    </w:p>
    <w:p w:rsidR="0081749F" w:rsidRDefault="00283710" w:rsidP="00283710">
      <w:pPr>
        <w:numPr>
          <w:ilvl w:val="0"/>
          <w:numId w:val="11"/>
        </w:numPr>
        <w:jc w:val="both"/>
      </w:pPr>
      <w:r>
        <w:rPr>
          <w:b/>
        </w:rPr>
        <w:t xml:space="preserve"> </w:t>
      </w:r>
      <w:r w:rsidR="00052570">
        <w:rPr>
          <w:b/>
        </w:rPr>
        <w:t xml:space="preserve">ИНН </w:t>
      </w:r>
      <w:r>
        <w:rPr>
          <w:b/>
        </w:rPr>
        <w:t>1655187390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>
        <w:t xml:space="preserve">  19.07.2013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>
        <w:t xml:space="preserve">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>
        <w:rPr>
          <w:b/>
        </w:rPr>
        <w:t>СРО-Э-033/182</w:t>
      </w:r>
      <w:r w:rsidR="0034796A" w:rsidRPr="001443F2">
        <w:rPr>
          <w:b/>
        </w:rPr>
        <w:t xml:space="preserve"> </w:t>
      </w:r>
      <w:r w:rsidR="000A786E">
        <w:t>от «</w:t>
      </w:r>
      <w:r>
        <w:t>19» июля</w:t>
      </w:r>
      <w:r w:rsidR="00052570">
        <w:t xml:space="preserve"> </w:t>
      </w:r>
      <w:r w:rsidR="00D409A2">
        <w:t xml:space="preserve"> 201</w:t>
      </w:r>
      <w:r>
        <w:t>3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«29</w:t>
      </w:r>
      <w:r w:rsidR="00E608DB">
        <w:t>» сентября</w:t>
      </w:r>
      <w:r w:rsidR="000A786E">
        <w:t xml:space="preserve"> </w:t>
      </w:r>
      <w:r w:rsidR="00525EF0"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283710" w:rsidRDefault="00283710" w:rsidP="00283710">
      <w:pPr>
        <w:ind w:left="720"/>
      </w:pPr>
      <w:r>
        <w:t>3.</w:t>
      </w:r>
      <w:r>
        <w:tab/>
        <w:t xml:space="preserve"> Общество с ограниченной ответственностью «Диагностические комплексы и системы»</w:t>
      </w:r>
    </w:p>
    <w:p w:rsidR="00283710" w:rsidRDefault="00283710" w:rsidP="00283710">
      <w:pPr>
        <w:ind w:left="720"/>
      </w:pPr>
      <w:r>
        <w:t>4.</w:t>
      </w:r>
      <w:r>
        <w:tab/>
        <w:t xml:space="preserve"> ИНН 1655187390,   дата принятия  в состав членов Партнерства  19.07.2013 г.,  свидетельство №  СРО-Э-033/182 от «19» июля  2013 г, заявление о выходе из состава членов Партнерства  от «29» сентября 2015 г.</w:t>
      </w:r>
    </w:p>
    <w:p w:rsidR="0081749F" w:rsidRPr="00541417" w:rsidRDefault="0081749F" w:rsidP="0081749F">
      <w:pPr>
        <w:ind w:left="720"/>
      </w:pPr>
    </w:p>
    <w:p w:rsidR="009816C8" w:rsidRPr="001F5858" w:rsidRDefault="009816C8" w:rsidP="009816C8">
      <w:pPr>
        <w:ind w:left="644"/>
      </w:pP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  <w:bookmarkStart w:id="0" w:name="_GoBack"/>
      <w:bookmarkEnd w:id="0"/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29" w:rsidRDefault="00664429" w:rsidP="008962EE">
      <w:r>
        <w:separator/>
      </w:r>
    </w:p>
  </w:endnote>
  <w:endnote w:type="continuationSeparator" w:id="0">
    <w:p w:rsidR="00664429" w:rsidRDefault="00664429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710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29" w:rsidRDefault="00664429" w:rsidP="008962EE">
      <w:r>
        <w:separator/>
      </w:r>
    </w:p>
  </w:footnote>
  <w:footnote w:type="continuationSeparator" w:id="0">
    <w:p w:rsidR="00664429" w:rsidRDefault="00664429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B3E6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3547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18</cp:revision>
  <cp:lastPrinted>2014-01-09T10:01:00Z</cp:lastPrinted>
  <dcterms:created xsi:type="dcterms:W3CDTF">2014-09-02T04:38:00Z</dcterms:created>
  <dcterms:modified xsi:type="dcterms:W3CDTF">2016-03-02T08:01:00Z</dcterms:modified>
</cp:coreProperties>
</file>